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8BA1" w14:textId="654EB900" w:rsidR="006C4908" w:rsidRPr="006C4908" w:rsidRDefault="006C4908" w:rsidP="006C4908">
      <w:pPr>
        <w:spacing w:after="0"/>
        <w:ind w:left="-425"/>
        <w:jc w:val="center"/>
        <w:rPr>
          <w:b/>
          <w:bCs/>
          <w:sz w:val="28"/>
          <w:szCs w:val="28"/>
          <w:u w:val="single"/>
        </w:rPr>
      </w:pPr>
      <w:r w:rsidRPr="006C4908">
        <w:rPr>
          <w:b/>
          <w:bCs/>
          <w:sz w:val="28"/>
          <w:szCs w:val="28"/>
          <w:u w:val="single"/>
        </w:rPr>
        <w:t xml:space="preserve">Informace </w:t>
      </w:r>
      <w:r w:rsidR="003D03A8">
        <w:rPr>
          <w:b/>
          <w:bCs/>
          <w:sz w:val="28"/>
          <w:szCs w:val="28"/>
          <w:u w:val="single"/>
        </w:rPr>
        <w:t>k</w:t>
      </w:r>
      <w:r w:rsidRPr="006C4908">
        <w:rPr>
          <w:b/>
          <w:bCs/>
          <w:sz w:val="28"/>
          <w:szCs w:val="28"/>
          <w:u w:val="single"/>
        </w:rPr>
        <w:t xml:space="preserve"> zákazu odpalování pyrotechnických výrobků</w:t>
      </w:r>
    </w:p>
    <w:p w14:paraId="610590F9" w14:textId="77777777" w:rsidR="006C4908" w:rsidRDefault="006C4908" w:rsidP="006C4908">
      <w:pPr>
        <w:spacing w:after="0"/>
        <w:ind w:left="-425"/>
      </w:pPr>
    </w:p>
    <w:p w14:paraId="641DF3C6" w14:textId="15FD79C2" w:rsidR="00D15291" w:rsidRDefault="00D15291" w:rsidP="009D7B27">
      <w:pPr>
        <w:spacing w:after="0"/>
        <w:ind w:left="-567"/>
        <w:jc w:val="both"/>
      </w:pPr>
      <w:r>
        <w:t xml:space="preserve">S účinností od </w:t>
      </w:r>
      <w:r w:rsidRPr="006C4908">
        <w:rPr>
          <w:b/>
          <w:bCs/>
        </w:rPr>
        <w:t>1. prosince 2025</w:t>
      </w:r>
      <w:r>
        <w:t xml:space="preserve"> dochází v zákoně č. 206/2015 Sb., o pyrotechnických</w:t>
      </w:r>
      <w:r w:rsidR="006C4908">
        <w:t xml:space="preserve"> </w:t>
      </w:r>
      <w:r>
        <w:t>výrobcích a zacházení s nimi a o změně některých zákonů (zákon o pyrotechnice), k</w:t>
      </w:r>
      <w:r w:rsidR="006C4908">
        <w:t> </w:t>
      </w:r>
      <w:r>
        <w:t>nové</w:t>
      </w:r>
      <w:r w:rsidR="006C4908">
        <w:t xml:space="preserve"> </w:t>
      </w:r>
      <w:r>
        <w:t xml:space="preserve">úpravě pravidel pro zacházení s pyrotechnickými výrobky. </w:t>
      </w:r>
      <w:r w:rsidRPr="00D15291">
        <w:t>Přísnější regulace zábavní pyrotechniky chrání lidi, zvířata a životní prostředí.</w:t>
      </w:r>
    </w:p>
    <w:p w14:paraId="62A29663" w14:textId="77ECFA3A" w:rsidR="00C92B3A" w:rsidRDefault="00C92B3A" w:rsidP="00C92B3A">
      <w:pPr>
        <w:ind w:left="-567"/>
        <w:jc w:val="both"/>
      </w:pPr>
      <w:r>
        <w:t>Na používání pyrotechniky se vztahuje</w:t>
      </w:r>
      <w:r w:rsidR="003D227B" w:rsidRPr="003D227B">
        <w:t xml:space="preserve"> přímo </w:t>
      </w:r>
      <w:r w:rsidR="003D227B" w:rsidRPr="003D227B">
        <w:rPr>
          <w:b/>
          <w:bCs/>
        </w:rPr>
        <w:t>zákonný (celorepublikový) „minimální standard ochrany“</w:t>
      </w:r>
      <w:r w:rsidR="003D227B" w:rsidRPr="003D227B">
        <w:t>, tj. zákaz odpalování pyrotechnických výrobků a jejich užívání k provádění ohňostrojů nebo ohňostrojných prací v okruhu do 250 m, případně i ve větší vzdálenosti, stanoví-li ji návod k použití, od zákonem vymezených chráněných míst.</w:t>
      </w:r>
      <w:r w:rsidR="00D15291">
        <w:t xml:space="preserve"> </w:t>
      </w:r>
      <w:r w:rsidR="00966D8C" w:rsidRPr="00966D8C">
        <w:t>Mapa</w:t>
      </w:r>
      <w:r w:rsidR="00966D8C">
        <w:t xml:space="preserve"> na </w:t>
      </w:r>
      <w:r w:rsidR="00D15291">
        <w:t>stránkách Ministerstva zemědělství</w:t>
      </w:r>
      <w:r w:rsidR="00966D8C">
        <w:t xml:space="preserve"> </w:t>
      </w:r>
      <w:r w:rsidR="00966D8C" w:rsidRPr="00966D8C">
        <w:t>obsahuje zóny, ve kterých je zakázáno zacházet s pyrotechnickými výrobky s výjimkou kategorie F1</w:t>
      </w:r>
      <w:r w:rsidR="003B301F">
        <w:t xml:space="preserve">. </w:t>
      </w:r>
      <w:hyperlink r:id="rId5" w:history="1">
        <w:r w:rsidR="009F558F" w:rsidRPr="009F558F">
          <w:rPr>
            <w:rStyle w:val="Hypertextovodkaz"/>
          </w:rPr>
          <w:t>mapová aplikace</w:t>
        </w:r>
      </w:hyperlink>
    </w:p>
    <w:p w14:paraId="417E2B07" w14:textId="77777777" w:rsidR="003D227B" w:rsidRPr="003D227B" w:rsidRDefault="003D227B" w:rsidP="009D7B27">
      <w:pPr>
        <w:spacing w:after="0"/>
        <w:ind w:left="-567"/>
      </w:pPr>
      <w:r w:rsidRPr="003D227B">
        <w:t>Tento zákaz se vztahuje zejména na blízkost:</w:t>
      </w:r>
    </w:p>
    <w:p w14:paraId="20457799" w14:textId="77777777" w:rsidR="003D227B" w:rsidRPr="003D227B" w:rsidRDefault="003D227B" w:rsidP="009D7B27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hanging="1287"/>
      </w:pPr>
      <w:r w:rsidRPr="003D227B">
        <w:rPr>
          <w:b/>
          <w:bCs/>
        </w:rPr>
        <w:t>staveb</w:t>
      </w:r>
      <w:r w:rsidRPr="003D227B">
        <w:t> zařízení poskytujících zdravotní lůžkovou péči a vybraných zařízení sociálních služeb (např. domovy pro seniory apod.),</w:t>
      </w:r>
    </w:p>
    <w:p w14:paraId="2409EA12" w14:textId="77777777" w:rsidR="003D227B" w:rsidRPr="003D227B" w:rsidRDefault="003D227B" w:rsidP="009D7B27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hanging="1287"/>
      </w:pPr>
      <w:r w:rsidRPr="003D227B">
        <w:rPr>
          <w:b/>
          <w:bCs/>
        </w:rPr>
        <w:t>pozemků</w:t>
      </w:r>
      <w:r w:rsidRPr="003D227B">
        <w:t> útulků, záchranných stanic/center nebo zoologických zahrad,</w:t>
      </w:r>
    </w:p>
    <w:p w14:paraId="2B6584F0" w14:textId="77777777" w:rsidR="003D227B" w:rsidRDefault="003D227B" w:rsidP="009D7B27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right="-426" w:hanging="1287"/>
      </w:pPr>
      <w:r w:rsidRPr="003D227B">
        <w:rPr>
          <w:b/>
          <w:bCs/>
        </w:rPr>
        <w:t>objektů</w:t>
      </w:r>
      <w:r w:rsidRPr="003D227B">
        <w:t> evidovaných jako hospodářství pro chov evidovaných zvířat podle zákona o zemědělství.</w:t>
      </w:r>
    </w:p>
    <w:p w14:paraId="4030257C" w14:textId="77777777" w:rsidR="006C4908" w:rsidRDefault="006C4908" w:rsidP="009D7B27">
      <w:pPr>
        <w:spacing w:after="0"/>
        <w:ind w:hanging="924"/>
        <w:rPr>
          <w:b/>
          <w:bCs/>
        </w:rPr>
      </w:pPr>
    </w:p>
    <w:p w14:paraId="021EA6F8" w14:textId="2AB9415D" w:rsidR="00F74D2C" w:rsidRDefault="009D7B27" w:rsidP="009D7B27">
      <w:pPr>
        <w:spacing w:after="0"/>
        <w:ind w:left="-567"/>
        <w:jc w:val="both"/>
      </w:pPr>
      <w:r>
        <w:rPr>
          <w:b/>
          <w:bCs/>
        </w:rPr>
        <w:t>„</w:t>
      </w:r>
      <w:r w:rsidR="002F06B8" w:rsidRPr="002F06B8">
        <w:rPr>
          <w:b/>
          <w:bCs/>
        </w:rPr>
        <w:t>Evidovaná zvířata</w:t>
      </w:r>
      <w:r w:rsidR="002F06B8" w:rsidRPr="002F06B8">
        <w:t>“ pro účely „evidence hospodářství podle objektů určených k chovu evidovaných zvířat“ podle </w:t>
      </w:r>
      <w:r w:rsidR="002F06B8" w:rsidRPr="002F06B8">
        <w:rPr>
          <w:b/>
          <w:bCs/>
        </w:rPr>
        <w:t>zákona o zemědělství</w:t>
      </w:r>
      <w:r w:rsidR="002F06B8" w:rsidRPr="002F06B8">
        <w:t> jsou </w:t>
      </w:r>
      <w:r w:rsidR="002F06B8" w:rsidRPr="002F06B8">
        <w:rPr>
          <w:b/>
          <w:bCs/>
        </w:rPr>
        <w:t>vymezena odkazem na plemenářský zákon</w:t>
      </w:r>
      <w:r w:rsidR="002F06B8" w:rsidRPr="002F06B8">
        <w:t>.</w:t>
      </w:r>
      <w:r w:rsidR="006C4908">
        <w:t xml:space="preserve"> </w:t>
      </w:r>
      <w:r w:rsidR="002F06B8" w:rsidRPr="002F06B8">
        <w:t>Podle </w:t>
      </w:r>
      <w:r>
        <w:br/>
      </w:r>
      <w:r w:rsidR="002F06B8" w:rsidRPr="002F06B8">
        <w:t>§ 1 odst. 1 písm. d) plemenářského zákona jsou „evidovaná zvířata“</w:t>
      </w:r>
      <w:r w:rsidR="002F06B8">
        <w:t xml:space="preserve"> </w:t>
      </w:r>
      <w:r w:rsidR="002F06B8" w:rsidRPr="002F06B8">
        <w:rPr>
          <w:b/>
          <w:bCs/>
        </w:rPr>
        <w:t>označovaná zvířata</w:t>
      </w:r>
      <w:r w:rsidR="002F06B8" w:rsidRPr="002F06B8">
        <w:t> (tj. podle </w:t>
      </w:r>
      <w:r>
        <w:br/>
      </w:r>
      <w:r w:rsidR="002F06B8" w:rsidRPr="002F06B8">
        <w:t>§ 1 odst.</w:t>
      </w:r>
      <w:r w:rsidR="006C4908">
        <w:t xml:space="preserve"> 1 </w:t>
      </w:r>
      <w:r w:rsidR="002F06B8" w:rsidRPr="002F06B8">
        <w:t>písm. c):</w:t>
      </w:r>
    </w:p>
    <w:p w14:paraId="24D1499A" w14:textId="2776CE41" w:rsidR="002F06B8" w:rsidRPr="002F06B8" w:rsidRDefault="002F06B8" w:rsidP="009D7B27">
      <w:pPr>
        <w:pStyle w:val="Odstavecseseznamem"/>
        <w:numPr>
          <w:ilvl w:val="0"/>
          <w:numId w:val="6"/>
        </w:numPr>
        <w:tabs>
          <w:tab w:val="clear" w:pos="720"/>
        </w:tabs>
        <w:spacing w:after="0"/>
        <w:ind w:left="-142" w:hanging="425"/>
      </w:pPr>
      <w:r w:rsidRPr="009D7B27">
        <w:rPr>
          <w:b/>
          <w:bCs/>
        </w:rPr>
        <w:t>tuři, koňovití, prasata, ovce, kozy, běžci, jelenovití, velbloudovití a zvěř ve farmovém chovu</w:t>
      </w:r>
      <w:r w:rsidRPr="002F06B8">
        <w:t>),</w:t>
      </w:r>
    </w:p>
    <w:p w14:paraId="0C015DA8" w14:textId="27882AB9" w:rsidR="002F06B8" w:rsidRPr="002F06B8" w:rsidRDefault="002F06B8" w:rsidP="009D7B27">
      <w:pPr>
        <w:pStyle w:val="Odstavecseseznamem"/>
        <w:numPr>
          <w:ilvl w:val="0"/>
          <w:numId w:val="6"/>
        </w:numPr>
        <w:tabs>
          <w:tab w:val="clear" w:pos="720"/>
        </w:tabs>
        <w:spacing w:after="0"/>
        <w:ind w:left="-142" w:hanging="425"/>
      </w:pPr>
      <w:r w:rsidRPr="009D7B27">
        <w:rPr>
          <w:b/>
          <w:bCs/>
        </w:rPr>
        <w:t>drůbež</w:t>
      </w:r>
      <w:r w:rsidRPr="002F06B8">
        <w:t>,</w:t>
      </w:r>
    </w:p>
    <w:p w14:paraId="2B72BF2A" w14:textId="77777777" w:rsidR="002F06B8" w:rsidRPr="002F06B8" w:rsidRDefault="002F06B8" w:rsidP="009D7B27">
      <w:pPr>
        <w:pStyle w:val="Odstavecseseznamem"/>
        <w:numPr>
          <w:ilvl w:val="0"/>
          <w:numId w:val="6"/>
        </w:numPr>
        <w:tabs>
          <w:tab w:val="clear" w:pos="720"/>
        </w:tabs>
        <w:spacing w:after="0"/>
        <w:ind w:left="-142" w:hanging="425"/>
      </w:pPr>
      <w:r w:rsidRPr="009D7B27">
        <w:rPr>
          <w:b/>
          <w:bCs/>
        </w:rPr>
        <w:t>králíci</w:t>
      </w:r>
      <w:r w:rsidRPr="002F06B8">
        <w:t>,</w:t>
      </w:r>
    </w:p>
    <w:p w14:paraId="6C1C6C85" w14:textId="77777777" w:rsidR="002F06B8" w:rsidRPr="002F06B8" w:rsidRDefault="002F06B8" w:rsidP="009D7B27">
      <w:pPr>
        <w:pStyle w:val="Odstavecseseznamem"/>
        <w:numPr>
          <w:ilvl w:val="0"/>
          <w:numId w:val="6"/>
        </w:numPr>
        <w:tabs>
          <w:tab w:val="clear" w:pos="720"/>
        </w:tabs>
        <w:spacing w:after="0"/>
        <w:ind w:left="-142" w:hanging="425"/>
      </w:pPr>
      <w:r w:rsidRPr="009D7B27">
        <w:rPr>
          <w:b/>
          <w:bCs/>
        </w:rPr>
        <w:t>včely</w:t>
      </w:r>
      <w:r w:rsidRPr="002F06B8">
        <w:t>,</w:t>
      </w:r>
    </w:p>
    <w:p w14:paraId="197C2859" w14:textId="77777777" w:rsidR="002F06B8" w:rsidRPr="002F06B8" w:rsidRDefault="002F06B8" w:rsidP="009D7B27">
      <w:pPr>
        <w:pStyle w:val="Odstavecseseznamem"/>
        <w:numPr>
          <w:ilvl w:val="0"/>
          <w:numId w:val="6"/>
        </w:numPr>
        <w:tabs>
          <w:tab w:val="clear" w:pos="720"/>
        </w:tabs>
        <w:spacing w:after="0"/>
        <w:ind w:left="-142" w:hanging="425"/>
      </w:pPr>
      <w:r w:rsidRPr="009D7B27">
        <w:rPr>
          <w:b/>
          <w:bCs/>
        </w:rPr>
        <w:t>plemenné ryby</w:t>
      </w:r>
      <w:r w:rsidRPr="002F06B8">
        <w:t>,</w:t>
      </w:r>
    </w:p>
    <w:p w14:paraId="4B24A5E3" w14:textId="77777777" w:rsidR="002F06B8" w:rsidRDefault="002F06B8" w:rsidP="009D7B27">
      <w:pPr>
        <w:pStyle w:val="Odstavecseseznamem"/>
        <w:numPr>
          <w:ilvl w:val="0"/>
          <w:numId w:val="6"/>
        </w:numPr>
        <w:tabs>
          <w:tab w:val="clear" w:pos="720"/>
        </w:tabs>
        <w:spacing w:after="0"/>
        <w:ind w:left="-142" w:hanging="425"/>
      </w:pPr>
      <w:r w:rsidRPr="009D7B27">
        <w:rPr>
          <w:b/>
          <w:bCs/>
        </w:rPr>
        <w:t>živočichové pocházející z akvakultury</w:t>
      </w:r>
      <w:r w:rsidRPr="002F06B8">
        <w:t>.</w:t>
      </w:r>
    </w:p>
    <w:p w14:paraId="3B410FA7" w14:textId="77777777" w:rsidR="009D7B27" w:rsidRPr="002F06B8" w:rsidRDefault="009D7B27" w:rsidP="009D7B27">
      <w:pPr>
        <w:spacing w:after="0"/>
        <w:ind w:left="-567"/>
      </w:pPr>
    </w:p>
    <w:p w14:paraId="4768507E" w14:textId="205CEC56" w:rsidR="002F06B8" w:rsidRPr="003D227B" w:rsidRDefault="002F06B8" w:rsidP="009D7B27">
      <w:pPr>
        <w:ind w:left="-567"/>
        <w:jc w:val="both"/>
      </w:pPr>
      <w:r w:rsidRPr="002F06B8">
        <w:t>To</w:t>
      </w:r>
      <w:r>
        <w:t>to</w:t>
      </w:r>
      <w:r w:rsidRPr="002F06B8">
        <w:t xml:space="preserve"> je okruh zvířat, k jejichž chovu se váže evidence objektů; právě na takto evidované objekty dopadá i zákaz zacházení s pyrotechnikou do 250 m dle § 35b písm. c) zákona o pyrotechnice.</w:t>
      </w:r>
    </w:p>
    <w:p w14:paraId="70A9C134" w14:textId="20B277E8" w:rsidR="003D227B" w:rsidRPr="003D227B" w:rsidRDefault="003D227B" w:rsidP="009D7B27">
      <w:pPr>
        <w:ind w:left="-567"/>
        <w:jc w:val="both"/>
      </w:pPr>
      <w:r w:rsidRPr="003D227B">
        <w:t>Pokud občan tento zákaz poruší, může se dopustit </w:t>
      </w:r>
      <w:r w:rsidRPr="003D227B">
        <w:rPr>
          <w:b/>
          <w:bCs/>
        </w:rPr>
        <w:t>přestupku</w:t>
      </w:r>
      <w:r w:rsidRPr="003D227B">
        <w:t xml:space="preserve">. Podle § 63 odst. 1 písm. h) zákona </w:t>
      </w:r>
      <w:r w:rsidR="00966D8C">
        <w:br/>
      </w:r>
      <w:r w:rsidRPr="003D227B">
        <w:t xml:space="preserve">o pyrotechnice se fyzická osoba dopustí přestupku tím, že zachází s pyrotechnickým výrobkem </w:t>
      </w:r>
      <w:r w:rsidR="009D7B27">
        <w:br/>
      </w:r>
      <w:r w:rsidRPr="003D227B">
        <w:t>v rozporu s § 35b téhož zákona. Za tento přestupek lze uložit pokutu až do výše </w:t>
      </w:r>
      <w:r w:rsidRPr="003D227B">
        <w:rPr>
          <w:b/>
          <w:bCs/>
        </w:rPr>
        <w:t>100 000 Kč</w:t>
      </w:r>
      <w:r w:rsidRPr="003D227B">
        <w:t xml:space="preserve">. </w:t>
      </w:r>
      <w:r w:rsidR="009D7B27">
        <w:br/>
      </w:r>
      <w:r w:rsidRPr="003D227B">
        <w:t xml:space="preserve">U právnických osob nebo podnikajících fyzických osob může být uložena pokuta až do výše </w:t>
      </w:r>
      <w:r w:rsidR="009D7B27">
        <w:br/>
      </w:r>
      <w:r w:rsidRPr="003D227B">
        <w:t>1 000 000 Kč.</w:t>
      </w:r>
    </w:p>
    <w:p w14:paraId="3B65D5D0" w14:textId="0E2E5BE8" w:rsidR="003D227B" w:rsidRPr="003D227B" w:rsidRDefault="003D227B" w:rsidP="006C4908">
      <w:pPr>
        <w:ind w:left="-426"/>
        <w:jc w:val="both"/>
      </w:pPr>
      <w:r w:rsidRPr="003D227B">
        <w:lastRenderedPageBreak/>
        <w:t>Projednání těchto přestupků je zpravidla svěřeno </w:t>
      </w:r>
      <w:r w:rsidRPr="003D227B">
        <w:rPr>
          <w:b/>
          <w:bCs/>
        </w:rPr>
        <w:t>obecním úřadům v přenesené působnosti</w:t>
      </w:r>
      <w:r w:rsidRPr="003D227B">
        <w:t xml:space="preserve">. </w:t>
      </w:r>
      <w:r w:rsidR="00966D8C">
        <w:br/>
      </w:r>
      <w:r w:rsidRPr="003D227B">
        <w:t>U vybraných kategorií pyrotechnických výrobků (F3, F4, T2 nebo P2) může jít o sdílenou působnost také s </w:t>
      </w:r>
      <w:r w:rsidRPr="003D227B">
        <w:rPr>
          <w:b/>
          <w:bCs/>
        </w:rPr>
        <w:t>obvodním báňským úřadem</w:t>
      </w:r>
      <w:r w:rsidRPr="003D227B">
        <w:t>.</w:t>
      </w:r>
    </w:p>
    <w:p w14:paraId="05E2B0CB" w14:textId="2C6F6768" w:rsidR="00DD4831" w:rsidRDefault="003D227B" w:rsidP="00DD4831">
      <w:pPr>
        <w:ind w:left="-426"/>
        <w:jc w:val="both"/>
      </w:pPr>
      <w:r w:rsidRPr="003D227B">
        <w:t>Dohled nad dodržováním zákazu vykonává </w:t>
      </w:r>
      <w:r w:rsidRPr="003D227B">
        <w:rPr>
          <w:b/>
          <w:bCs/>
        </w:rPr>
        <w:t>Policie ČR i obecní policie</w:t>
      </w:r>
      <w:r w:rsidRPr="003D227B">
        <w:t>, při splnění podmínek může být věc řešena rovněž </w:t>
      </w:r>
      <w:r w:rsidRPr="003D227B">
        <w:rPr>
          <w:b/>
          <w:bCs/>
        </w:rPr>
        <w:t>příkazem na místě</w:t>
      </w:r>
      <w:r w:rsidRPr="003D227B">
        <w:t> (pokuta až do 10 000 Kč, u mladistvých až do 2 500 Kč).</w:t>
      </w:r>
    </w:p>
    <w:p w14:paraId="7034C810" w14:textId="434D41D0" w:rsidR="00DD4831" w:rsidRPr="003D227B" w:rsidRDefault="00DD4831" w:rsidP="00DD4831">
      <w:pPr>
        <w:ind w:left="-426"/>
        <w:jc w:val="center"/>
      </w:pPr>
      <w:r w:rsidRPr="00DD4831">
        <w:rPr>
          <w:noProof/>
        </w:rPr>
        <w:drawing>
          <wp:inline distT="0" distB="0" distL="0" distR="0" wp14:anchorId="51E198C2" wp14:editId="01476EB9">
            <wp:extent cx="5553075" cy="7258261"/>
            <wp:effectExtent l="0" t="0" r="0" b="0"/>
            <wp:docPr id="13445315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531587" name=""/>
                    <pic:cNvPicPr/>
                  </pic:nvPicPr>
                  <pic:blipFill rotWithShape="1">
                    <a:blip r:embed="rId6"/>
                    <a:srcRect l="9279" r="10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541" cy="7274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C5BB14" w14:textId="77777777" w:rsidR="003D227B" w:rsidRDefault="003D227B" w:rsidP="002F06B8">
      <w:pPr>
        <w:ind w:left="-426"/>
      </w:pPr>
    </w:p>
    <w:sectPr w:rsidR="003D227B" w:rsidSect="009D7B27">
      <w:pgSz w:w="11906" w:h="16838"/>
      <w:pgMar w:top="1418" w:right="1133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35AF"/>
    <w:multiLevelType w:val="multilevel"/>
    <w:tmpl w:val="2A3A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938EB"/>
    <w:multiLevelType w:val="multilevel"/>
    <w:tmpl w:val="2A3A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B5499"/>
    <w:multiLevelType w:val="hybridMultilevel"/>
    <w:tmpl w:val="5A3E683C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41EA7679"/>
    <w:multiLevelType w:val="multilevel"/>
    <w:tmpl w:val="A45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25A20"/>
    <w:multiLevelType w:val="multilevel"/>
    <w:tmpl w:val="2A3A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E4952"/>
    <w:multiLevelType w:val="multilevel"/>
    <w:tmpl w:val="205E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456546">
    <w:abstractNumId w:val="5"/>
  </w:num>
  <w:num w:numId="2" w16cid:durableId="1966737260">
    <w:abstractNumId w:val="3"/>
  </w:num>
  <w:num w:numId="3" w16cid:durableId="1830051216">
    <w:abstractNumId w:val="2"/>
  </w:num>
  <w:num w:numId="4" w16cid:durableId="870536044">
    <w:abstractNumId w:val="4"/>
  </w:num>
  <w:num w:numId="5" w16cid:durableId="292293733">
    <w:abstractNumId w:val="1"/>
  </w:num>
  <w:num w:numId="6" w16cid:durableId="59841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7B"/>
    <w:rsid w:val="002F06B8"/>
    <w:rsid w:val="003B301F"/>
    <w:rsid w:val="003D03A8"/>
    <w:rsid w:val="003D227B"/>
    <w:rsid w:val="006C4908"/>
    <w:rsid w:val="007633A7"/>
    <w:rsid w:val="00926746"/>
    <w:rsid w:val="00966D8C"/>
    <w:rsid w:val="009D7B27"/>
    <w:rsid w:val="009F558F"/>
    <w:rsid w:val="00A71225"/>
    <w:rsid w:val="00C92B3A"/>
    <w:rsid w:val="00D15291"/>
    <w:rsid w:val="00DD4831"/>
    <w:rsid w:val="00E03249"/>
    <w:rsid w:val="00E24A8E"/>
    <w:rsid w:val="00F7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9623"/>
  <w15:chartTrackingRefBased/>
  <w15:docId w15:val="{4DA72916-C3C1-41FB-95B4-9EA0FB2F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2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2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2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2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2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2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2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2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2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22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22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227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27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227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F06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06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F55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grigis.gov.cz/portal/apps/instant/basic/index.html?appid=ded81b51ac6e4ea1b071ef28122f54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Obce</dc:creator>
  <cp:keywords/>
  <dc:description/>
  <cp:lastModifiedBy>Starosta Obce</cp:lastModifiedBy>
  <cp:revision>14</cp:revision>
  <cp:lastPrinted>2025-12-17T15:39:00Z</cp:lastPrinted>
  <dcterms:created xsi:type="dcterms:W3CDTF">2025-12-17T07:03:00Z</dcterms:created>
  <dcterms:modified xsi:type="dcterms:W3CDTF">2025-12-18T13:50:00Z</dcterms:modified>
</cp:coreProperties>
</file>